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41" w:rsidRDefault="002121B7" w:rsidP="002B2A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B2A41" w:rsidRPr="002B2A41">
        <w:rPr>
          <w:rFonts w:ascii="Arial" w:hAnsi="Arial" w:cs="Arial"/>
          <w:b/>
          <w:sz w:val="20"/>
          <w:szCs w:val="20"/>
          <w:u w:val="single"/>
        </w:rPr>
        <w:t>Zwrot podatku akcyzowego zawartego w cenie oleju napędowego wykorzystywanego do produkcji rolnej</w:t>
      </w:r>
    </w:p>
    <w:p w:rsidR="002B2A41" w:rsidRPr="002B2A41" w:rsidRDefault="002B2A41" w:rsidP="002B2A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2A41" w:rsidRPr="002B2A41" w:rsidRDefault="002B2A41" w:rsidP="002B2A4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B2A4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B2A41" w:rsidRPr="00B620CF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2A41" w:rsidRPr="00E155C1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B2A41" w:rsidRPr="00E155C1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2A41" w:rsidRPr="00B620CF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B2A41" w:rsidRPr="00B620CF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2A41" w:rsidRPr="00B620CF" w:rsidRDefault="002B2A41" w:rsidP="002B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Przyjęcie i realizacja wniosku o zwrot podatku akcyzowego zawartego w cenie oleju napędowego wykorzystywanego do produkcji rolnej, przyjęcie oświadczenia producenta rolnego na podstawie art. 6 ust. 1 lit. c) RODO w związku Ustawa z dnia 14 czerwca 1960 r. – Kodeks Postępowania Administracyjnego, Ustawa z dnia 10 marca 2006 r. – o zwrocie podatku akcyzowego zawartego w cenie oleju napędowego wykorzystywanego do produkcji rolnej, Rozporządzenie Rady Ministrów z dnia 18 grudnia 2020 r. w sprawie stawki zwrotu podatku akcyzowego zawartego w cenie oleju napędowego wykorzystywanego do produkcji rolnej na 1 litr oleju w 2021 r., Rozporządzenie Ministra Rolnictwa i Rozwoju Wsi z dnia 18 grudnia 2020 r. w sprawie wzoru wniosku o zwrot podatku akcyzowego zawartego w cenie oleju napędowego wykorzystywanego do produkcji rolnej, Rozporządzenie Ministra Rolnictwa i Rozwoju Wsi z dnia 23 sierpnia 2006 r. w sprawie przekazywania gminom dotacji celowej na postępowanie w sprawie zwrotu podatku akcyzowego zawartego w cenie oleju napędowego wykorzystywanego do produkcji rolnej i jego wypłatę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B2A41">
        <w:rPr>
          <w:rFonts w:ascii="Arial" w:hAnsi="Arial" w:cs="Arial"/>
          <w:sz w:val="20"/>
          <w:szCs w:val="20"/>
        </w:rPr>
        <w:t>ane przechowywane będą zgodnie z jednolitym rzeczowym wykazem akt przez okres 10 lat.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t>5. Odbiorcy danych: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A41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B2A4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A41">
        <w:rPr>
          <w:rFonts w:ascii="Arial" w:hAnsi="Arial" w:cs="Arial"/>
          <w:sz w:val="20"/>
          <w:szCs w:val="20"/>
        </w:rPr>
        <w:t>Podanie danych osobowych jest niezbędne do przyjęcia i realizacji wniosku. Podanie danych niewynikających z przepisów prawa takich jak numer telefonu, adres e-mail jest dobrowolne.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A41">
        <w:rPr>
          <w:rFonts w:ascii="Arial" w:hAnsi="Arial" w:cs="Arial"/>
          <w:b/>
          <w:sz w:val="20"/>
          <w:szCs w:val="20"/>
        </w:rPr>
        <w:lastRenderedPageBreak/>
        <w:t xml:space="preserve">8. Informacja o możliwości wycofania zgody: </w:t>
      </w:r>
    </w:p>
    <w:p w:rsidR="003B181B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B2A41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41" w:rsidRPr="00406E54" w:rsidRDefault="002B2A41" w:rsidP="002B2A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B2A41" w:rsidRPr="00406E54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B2A41" w:rsidRPr="002B2A41" w:rsidRDefault="002B2A41" w:rsidP="002B2A4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B2A41" w:rsidRPr="002B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1"/>
    <w:rsid w:val="002121B7"/>
    <w:rsid w:val="002B2A41"/>
    <w:rsid w:val="003B181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26DF-5FAA-47CE-A749-BCB1418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A41"/>
    <w:rPr>
      <w:b/>
      <w:bCs/>
    </w:rPr>
  </w:style>
  <w:style w:type="paragraph" w:styleId="NormalnyWeb">
    <w:name w:val="Normal (Web)"/>
    <w:basedOn w:val="Normalny"/>
    <w:uiPriority w:val="99"/>
    <w:unhideWhenUsed/>
    <w:rsid w:val="002B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2023-07-03T12:27:00Z</dcterms:created>
  <dcterms:modified xsi:type="dcterms:W3CDTF">2024-04-09T06:34:00Z</dcterms:modified>
</cp:coreProperties>
</file>