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>Oświadczenie Podmiotu udostępniającego zasoby  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wód opadowych przy Szkole Podstawowej w Sierakówku</w:t>
      </w:r>
      <w:r>
        <w:rPr>
          <w:rFonts w:cs="Times New Roman" w:ascii="Bookman Old Style" w:hAnsi="Bookman Old Style"/>
          <w:b/>
          <w:sz w:val="21"/>
          <w:szCs w:val="21"/>
        </w:rPr>
        <w:t>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cs="Times New Roman"/>
          <w:i/>
          <w:i/>
          <w:iCs/>
        </w:rPr>
      </w:pPr>
      <w:r>
        <w:rPr>
          <w:rFonts w:cs="Times New Roman" w:ascii="Bookman Old Style" w:hAnsi="Bookman Old Style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/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71302059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LibreOffice/7.1.2.2$Windows_X86_64 LibreOffice_project/8a45595d069ef5570103caea1b71cc9d82b2aae4</Application>
  <AppVersion>15.0000</AppVersion>
  <Pages>1</Pages>
  <Words>224</Words>
  <Characters>1518</Characters>
  <CharactersWithSpaces>1765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dcterms:modified xsi:type="dcterms:W3CDTF">2021-07-16T08:41:49Z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